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2C5EB" w14:textId="21E5BD22" w:rsidR="00985FCD" w:rsidRDefault="00985FCD" w:rsidP="0048139B">
      <w:pPr>
        <w:rPr>
          <w:rStyle w:val="normaltextrun"/>
          <w:rFonts w:eastAsiaTheme="majorEastAsia"/>
          <w:b/>
          <w:bCs/>
          <w:kern w:val="0"/>
          <w14:ligatures w14:val="none"/>
        </w:rPr>
      </w:pPr>
      <w:r>
        <w:rPr>
          <w:rStyle w:val="normaltextrun"/>
          <w:rFonts w:eastAsiaTheme="majorEastAsia"/>
          <w:b/>
          <w:bCs/>
          <w:kern w:val="0"/>
          <w14:ligatures w14:val="none"/>
        </w:rPr>
        <w:t xml:space="preserve">Ms. </w:t>
      </w:r>
      <w:r w:rsidRPr="003769B2">
        <w:rPr>
          <w:rStyle w:val="normaltextrun"/>
          <w:rFonts w:eastAsiaTheme="majorEastAsia"/>
          <w:b/>
          <w:bCs/>
          <w:kern w:val="0"/>
          <w14:ligatures w14:val="none"/>
        </w:rPr>
        <w:t>Kaitlin Asrow</w:t>
      </w:r>
      <w:r>
        <w:rPr>
          <w:rStyle w:val="normaltextrun"/>
          <w:rFonts w:eastAsiaTheme="majorEastAsia"/>
          <w:b/>
          <w:bCs/>
          <w:kern w:val="0"/>
          <w14:ligatures w14:val="none"/>
        </w:rPr>
        <w:t>, Acting Superintendent</w:t>
      </w:r>
    </w:p>
    <w:p w14:paraId="41F1FC34" w14:textId="4AA451CB" w:rsidR="0048139B" w:rsidRDefault="0048139B" w:rsidP="0048139B">
      <w:pPr>
        <w:rPr>
          <w:rStyle w:val="normaltextrun"/>
          <w:rFonts w:eastAsiaTheme="majorEastAsia"/>
          <w:b/>
          <w:bCs/>
          <w:kern w:val="0"/>
          <w14:ligatures w14:val="none"/>
        </w:rPr>
      </w:pPr>
      <w:r w:rsidRPr="0048139B">
        <w:rPr>
          <w:rStyle w:val="normaltextrun"/>
          <w:rFonts w:eastAsiaTheme="majorEastAsia"/>
          <w:b/>
          <w:bCs/>
          <w:kern w:val="0"/>
          <w14:ligatures w14:val="none"/>
        </w:rPr>
        <w:t>New York</w:t>
      </w:r>
      <w:r w:rsidR="00985FCD">
        <w:rPr>
          <w:rStyle w:val="normaltextrun"/>
          <w:rFonts w:eastAsiaTheme="majorEastAsia"/>
          <w:b/>
          <w:bCs/>
          <w:kern w:val="0"/>
          <w14:ligatures w14:val="none"/>
        </w:rPr>
        <w:t xml:space="preserve"> State Department of Financial Services</w:t>
      </w:r>
    </w:p>
    <w:p w14:paraId="190F0703" w14:textId="7F134908" w:rsidR="003769B2" w:rsidRDefault="003769B2" w:rsidP="0048139B">
      <w:pPr>
        <w:rPr>
          <w:rStyle w:val="normaltextrun"/>
          <w:rFonts w:eastAsiaTheme="majorEastAsia"/>
          <w:b/>
          <w:bCs/>
          <w:kern w:val="0"/>
          <w14:ligatures w14:val="none"/>
        </w:rPr>
      </w:pPr>
      <w:r w:rsidRPr="003769B2">
        <w:rPr>
          <w:rStyle w:val="normaltextrun"/>
          <w:rFonts w:eastAsiaTheme="majorEastAsia"/>
          <w:b/>
          <w:bCs/>
          <w:kern w:val="0"/>
          <w14:ligatures w14:val="none"/>
        </w:rPr>
        <w:tab/>
      </w:r>
    </w:p>
    <w:p w14:paraId="5BD2088C" w14:textId="7A266694" w:rsidR="003769B2" w:rsidRDefault="003769B2" w:rsidP="0048139B">
      <w:pPr>
        <w:rPr>
          <w:rStyle w:val="normaltextrun"/>
          <w:rFonts w:eastAsiaTheme="majorEastAsia"/>
          <w:b/>
          <w:bCs/>
          <w:kern w:val="0"/>
          <w14:ligatures w14:val="none"/>
        </w:rPr>
      </w:pPr>
      <w:hyperlink r:id="rId9" w:history="1">
        <w:r w:rsidRPr="00570263">
          <w:rPr>
            <w:rStyle w:val="Hyperlink"/>
            <w:rFonts w:eastAsiaTheme="majorEastAsia"/>
            <w:b/>
            <w:bCs/>
            <w:kern w:val="0"/>
            <w14:ligatures w14:val="none"/>
          </w:rPr>
          <w:t>consumers@dfs.ny.gov</w:t>
        </w:r>
      </w:hyperlink>
      <w:r w:rsidRPr="003769B2">
        <w:rPr>
          <w:rStyle w:val="normaltextrun"/>
          <w:rFonts w:eastAsiaTheme="majorEastAsia"/>
          <w:b/>
          <w:bCs/>
          <w:kern w:val="0"/>
          <w14:ligatures w14:val="none"/>
        </w:rPr>
        <w:tab/>
      </w:r>
    </w:p>
    <w:p w14:paraId="7128DEF6" w14:textId="0172C57E" w:rsidR="00A34F9C" w:rsidRDefault="00E95410" w:rsidP="0048139B">
      <w:pPr>
        <w:rPr>
          <w:rStyle w:val="normaltextrun"/>
          <w:rFonts w:eastAsiaTheme="majorEastAsia"/>
          <w:b/>
          <w:bCs/>
          <w:kern w:val="0"/>
          <w14:ligatures w14:val="none"/>
        </w:rPr>
      </w:pPr>
      <w:hyperlink r:id="rId10" w:history="1">
        <w:r w:rsidRPr="00570263">
          <w:rPr>
            <w:rStyle w:val="Hyperlink"/>
            <w:rFonts w:eastAsiaTheme="majorEastAsia"/>
            <w:b/>
            <w:bCs/>
            <w:kern w:val="0"/>
            <w14:ligatures w14:val="none"/>
          </w:rPr>
          <w:t>public-affairs@dfs.ny.gov</w:t>
        </w:r>
      </w:hyperlink>
    </w:p>
    <w:p w14:paraId="248202C0" w14:textId="77777777" w:rsidR="0048139B" w:rsidRDefault="0048139B" w:rsidP="00DC00FF">
      <w:pPr>
        <w:pStyle w:val="paragraph"/>
        <w:spacing w:before="0" w:beforeAutospacing="0" w:after="0" w:afterAutospacing="0"/>
        <w:textAlignment w:val="baseline"/>
        <w:rPr>
          <w:rStyle w:val="normaltextrun"/>
          <w:rFonts w:ascii="Arial" w:eastAsiaTheme="majorEastAsia" w:hAnsi="Arial" w:cs="Arial"/>
          <w:b/>
          <w:bCs/>
          <w:sz w:val="20"/>
          <w:szCs w:val="20"/>
        </w:rPr>
      </w:pPr>
    </w:p>
    <w:p w14:paraId="40BBB46A" w14:textId="05957355" w:rsidR="00DC00FF" w:rsidRDefault="00DC00FF" w:rsidP="00DC00F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 xml:space="preserve">Dear </w:t>
      </w:r>
      <w:r w:rsidR="00A0671C">
        <w:rPr>
          <w:rStyle w:val="normaltextrun"/>
          <w:rFonts w:ascii="Arial" w:eastAsiaTheme="majorEastAsia" w:hAnsi="Arial" w:cs="Arial"/>
          <w:sz w:val="20"/>
          <w:szCs w:val="20"/>
        </w:rPr>
        <w:t xml:space="preserve">Acting Superintendent </w:t>
      </w:r>
      <w:proofErr w:type="spellStart"/>
      <w:r w:rsidR="00A0671C">
        <w:rPr>
          <w:rStyle w:val="normaltextrun"/>
          <w:rFonts w:ascii="Arial" w:eastAsiaTheme="majorEastAsia" w:hAnsi="Arial" w:cs="Arial"/>
          <w:sz w:val="20"/>
          <w:szCs w:val="20"/>
        </w:rPr>
        <w:t>Asrow</w:t>
      </w:r>
      <w:proofErr w:type="spellEnd"/>
      <w:r>
        <w:rPr>
          <w:rStyle w:val="normaltextrun"/>
          <w:rFonts w:ascii="Arial" w:eastAsiaTheme="majorEastAsia" w:hAnsi="Arial" w:cs="Arial"/>
          <w:sz w:val="20"/>
          <w:szCs w:val="20"/>
        </w:rPr>
        <w:t>,</w:t>
      </w:r>
    </w:p>
    <w:p w14:paraId="7C0529C9" w14:textId="3B672C37" w:rsidR="00DC00FF" w:rsidRDefault="00DC00FF" w:rsidP="00DC00FF">
      <w:pPr>
        <w:pStyle w:val="paragraph"/>
        <w:spacing w:before="0" w:beforeAutospacing="0" w:after="0" w:afterAutospacing="0"/>
        <w:textAlignment w:val="baseline"/>
        <w:rPr>
          <w:rFonts w:ascii="Segoe UI" w:hAnsi="Segoe UI" w:cs="Segoe UI"/>
          <w:sz w:val="18"/>
          <w:szCs w:val="18"/>
        </w:rPr>
      </w:pPr>
    </w:p>
    <w:p w14:paraId="24CBC5FA" w14:textId="3880307E" w:rsidR="00DC00FF" w:rsidRDefault="00DC00FF" w:rsidP="00DC00FF">
      <w:pPr>
        <w:pStyle w:val="paragraph"/>
        <w:spacing w:before="0" w:beforeAutospacing="0" w:after="0" w:afterAutospacing="0"/>
        <w:textAlignment w:val="baseline"/>
        <w:rPr>
          <w:rStyle w:val="eop"/>
          <w:rFonts w:ascii="Arial" w:eastAsiaTheme="majorEastAsia" w:hAnsi="Arial" w:cs="Arial"/>
          <w:sz w:val="20"/>
          <w:szCs w:val="20"/>
          <w:bdr w:val="none" w:sz="0" w:space="0" w:color="auto" w:frame="1"/>
          <w:shd w:val="clear" w:color="auto" w:fill="C6C6C6"/>
        </w:rPr>
      </w:pPr>
      <w:r>
        <w:rPr>
          <w:rStyle w:val="normaltextrun"/>
          <w:rFonts w:ascii="Arial" w:eastAsiaTheme="majorEastAsia" w:hAnsi="Arial" w:cs="Arial"/>
          <w:sz w:val="20"/>
          <w:szCs w:val="20"/>
        </w:rPr>
        <w:t xml:space="preserve">As a practicing dentist in </w:t>
      </w:r>
      <w:r w:rsidR="00374755">
        <w:rPr>
          <w:rStyle w:val="normaltextrun"/>
          <w:rFonts w:ascii="Arial" w:eastAsiaTheme="majorEastAsia" w:hAnsi="Arial" w:cs="Arial"/>
          <w:sz w:val="20"/>
          <w:szCs w:val="20"/>
        </w:rPr>
        <w:t>(INSERT TOWN)</w:t>
      </w:r>
      <w:r>
        <w:rPr>
          <w:rStyle w:val="normaltextrun"/>
          <w:rFonts w:ascii="Arial" w:eastAsiaTheme="majorEastAsia" w:hAnsi="Arial" w:cs="Arial"/>
          <w:sz w:val="20"/>
          <w:szCs w:val="20"/>
        </w:rPr>
        <w:t>, I am writing to protest Delta Dental</w:t>
      </w:r>
      <w:r w:rsidR="000C775C">
        <w:rPr>
          <w:rStyle w:val="normaltextrun"/>
          <w:rFonts w:ascii="Arial" w:eastAsiaTheme="majorEastAsia" w:hAnsi="Arial" w:cs="Arial"/>
          <w:sz w:val="20"/>
          <w:szCs w:val="20"/>
        </w:rPr>
        <w:t xml:space="preserve">’s </w:t>
      </w:r>
      <w:r>
        <w:rPr>
          <w:rStyle w:val="normaltextrun"/>
          <w:rFonts w:ascii="Arial" w:eastAsiaTheme="majorEastAsia" w:hAnsi="Arial" w:cs="Arial"/>
          <w:sz w:val="20"/>
          <w:szCs w:val="20"/>
        </w:rPr>
        <w:t>proposed $15 weekly charge to receive physical checks for claim reimbursements and to formally ask for your help in stopping this proposal. This is a coercive effort levied upon my practice that would force me and other in-network dentists to shift to electronic funds transfer (EFT) payment programs. This fee proposal may serve to improve Delta’s bottom line, but it punishes small businesses wishing to remain with traditional paper checks for claim payments</w:t>
      </w:r>
      <w:r w:rsidR="000F7AE5">
        <w:rPr>
          <w:rStyle w:val="normaltextrun"/>
          <w:rFonts w:ascii="Arial" w:eastAsiaTheme="majorEastAsia" w:hAnsi="Arial" w:cs="Arial"/>
          <w:sz w:val="20"/>
          <w:szCs w:val="20"/>
        </w:rPr>
        <w:t xml:space="preserve"> </w:t>
      </w:r>
      <w:r w:rsidR="000F7AE5" w:rsidRPr="000F7AE5">
        <w:rPr>
          <w:rStyle w:val="normaltextrun"/>
          <w:rFonts w:ascii="Arial" w:eastAsiaTheme="majorEastAsia" w:hAnsi="Arial" w:cs="Arial"/>
          <w:sz w:val="20"/>
          <w:szCs w:val="20"/>
        </w:rPr>
        <w:t xml:space="preserve">while adding nothing to help ensure access to care. The weekly check fee creates limits on health care providers’ options that ultimately add to the overall cost of care. </w:t>
      </w:r>
      <w:r w:rsidR="007302FF">
        <w:rPr>
          <w:rStyle w:val="normaltextrun"/>
          <w:rFonts w:ascii="Arial" w:eastAsiaTheme="majorEastAsia" w:hAnsi="Arial" w:cs="Arial"/>
          <w:sz w:val="20"/>
          <w:szCs w:val="20"/>
        </w:rPr>
        <w:t xml:space="preserve">Dental insurers </w:t>
      </w:r>
      <w:r w:rsidR="000F7AE5" w:rsidRPr="000F7AE5">
        <w:rPr>
          <w:rStyle w:val="normaltextrun"/>
          <w:rFonts w:ascii="Arial" w:eastAsiaTheme="majorEastAsia" w:hAnsi="Arial" w:cs="Arial"/>
          <w:sz w:val="20"/>
          <w:szCs w:val="20"/>
        </w:rPr>
        <w:t>should focus more on bolstering investments in patient care rather than establishing processes that only serve to increase the cost of care for everyone but them</w:t>
      </w:r>
      <w:r w:rsidR="000F7AE5">
        <w:rPr>
          <w:rStyle w:val="normaltextrun"/>
          <w:rFonts w:ascii="Arial" w:eastAsiaTheme="majorEastAsia" w:hAnsi="Arial" w:cs="Arial"/>
          <w:sz w:val="20"/>
          <w:szCs w:val="20"/>
        </w:rPr>
        <w:t>.</w:t>
      </w:r>
      <w:r>
        <w:rPr>
          <w:rStyle w:val="normaltextrun"/>
          <w:rFonts w:ascii="Arial" w:eastAsiaTheme="majorEastAsia" w:hAnsi="Arial" w:cs="Arial"/>
          <w:color w:val="D13438"/>
          <w:sz w:val="20"/>
          <w:szCs w:val="20"/>
          <w:u w:val="single"/>
        </w:rPr>
        <w:t xml:space="preserve"> </w:t>
      </w:r>
      <w:r w:rsidRPr="00DC00FF">
        <w:rPr>
          <w:rStyle w:val="normaltextrun"/>
          <w:rFonts w:ascii="Arial" w:eastAsiaTheme="majorEastAsia" w:hAnsi="Arial" w:cs="Arial"/>
          <w:color w:val="D13438"/>
          <w:sz w:val="20"/>
          <w:szCs w:val="20"/>
          <w:u w:val="single"/>
        </w:rPr>
        <w:t xml:space="preserve"> </w:t>
      </w:r>
    </w:p>
    <w:p w14:paraId="30BAA9EB" w14:textId="77777777" w:rsidR="00E967E0" w:rsidRDefault="00E967E0" w:rsidP="00DC00FF">
      <w:pPr>
        <w:pStyle w:val="paragraph"/>
        <w:spacing w:before="0" w:beforeAutospacing="0" w:after="0" w:afterAutospacing="0"/>
        <w:textAlignment w:val="baseline"/>
        <w:rPr>
          <w:rFonts w:ascii="Segoe UI" w:hAnsi="Segoe UI" w:cs="Segoe UI"/>
          <w:sz w:val="18"/>
          <w:szCs w:val="18"/>
        </w:rPr>
      </w:pPr>
    </w:p>
    <w:p w14:paraId="27DBFD53" w14:textId="40198584" w:rsidR="00E967E0" w:rsidRDefault="00DC00FF" w:rsidP="00DC00FF">
      <w:pPr>
        <w:pStyle w:val="paragraph"/>
        <w:spacing w:before="0" w:beforeAutospacing="0" w:after="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This added fee reduces the continually narrowing margin for my practice which ultimately impacts my patients. It stacks on top of the significant write-off I must take </w:t>
      </w:r>
      <w:proofErr w:type="gramStart"/>
      <w:r>
        <w:rPr>
          <w:rStyle w:val="normaltextrun"/>
          <w:rFonts w:ascii="Arial" w:eastAsiaTheme="majorEastAsia" w:hAnsi="Arial" w:cs="Arial"/>
          <w:sz w:val="20"/>
          <w:szCs w:val="20"/>
        </w:rPr>
        <w:t>in order to</w:t>
      </w:r>
      <w:proofErr w:type="gramEnd"/>
      <w:r>
        <w:rPr>
          <w:rStyle w:val="normaltextrun"/>
          <w:rFonts w:ascii="Arial" w:eastAsiaTheme="majorEastAsia" w:hAnsi="Arial" w:cs="Arial"/>
          <w:sz w:val="20"/>
          <w:szCs w:val="20"/>
        </w:rPr>
        <w:t xml:space="preserve"> participate</w:t>
      </w:r>
      <w:r w:rsidR="00985FCD">
        <w:rPr>
          <w:rStyle w:val="normaltextrun"/>
          <w:rFonts w:ascii="Arial" w:eastAsiaTheme="majorEastAsia" w:hAnsi="Arial" w:cs="Arial"/>
          <w:sz w:val="20"/>
          <w:szCs w:val="20"/>
        </w:rPr>
        <w:t>,</w:t>
      </w:r>
      <w:r>
        <w:rPr>
          <w:rStyle w:val="normaltextrun"/>
          <w:rFonts w:ascii="Arial" w:eastAsiaTheme="majorEastAsia" w:hAnsi="Arial" w:cs="Arial"/>
          <w:sz w:val="20"/>
          <w:szCs w:val="20"/>
        </w:rPr>
        <w:t xml:space="preserve"> which is exacerbated by Delta’s low reimbursement rate. Practice costs are increasing significantly with no commensurate adjustment in Delta’s fee schedule. </w:t>
      </w:r>
    </w:p>
    <w:p w14:paraId="5D5C38FD" w14:textId="77777777" w:rsidR="00E967E0" w:rsidRDefault="00E967E0" w:rsidP="00DC00FF">
      <w:pPr>
        <w:pStyle w:val="paragraph"/>
        <w:spacing w:before="0" w:beforeAutospacing="0" w:after="0" w:afterAutospacing="0"/>
        <w:textAlignment w:val="baseline"/>
        <w:rPr>
          <w:rStyle w:val="normaltextrun"/>
          <w:rFonts w:ascii="Arial" w:eastAsiaTheme="majorEastAsia" w:hAnsi="Arial" w:cs="Arial"/>
          <w:sz w:val="20"/>
          <w:szCs w:val="20"/>
        </w:rPr>
      </w:pPr>
    </w:p>
    <w:p w14:paraId="3876DEF6" w14:textId="31492866" w:rsidR="00DC00FF" w:rsidRDefault="710A25CC" w:rsidP="04FE0F1B">
      <w:pPr>
        <w:pStyle w:val="paragraph"/>
        <w:spacing w:before="0" w:beforeAutospacing="0" w:after="0" w:afterAutospacing="0"/>
        <w:textAlignment w:val="baseline"/>
        <w:rPr>
          <w:rFonts w:ascii="Segoe UI" w:hAnsi="Segoe UI" w:cs="Segoe UI"/>
          <w:sz w:val="18"/>
          <w:szCs w:val="18"/>
        </w:rPr>
      </w:pPr>
      <w:r w:rsidRPr="04FE0F1B">
        <w:rPr>
          <w:rStyle w:val="normaltextrun"/>
          <w:rFonts w:ascii="Arial" w:eastAsiaTheme="majorEastAsia" w:hAnsi="Arial" w:cs="Arial"/>
          <w:sz w:val="20"/>
          <w:szCs w:val="20"/>
        </w:rPr>
        <w:t>New York</w:t>
      </w:r>
      <w:r w:rsidR="490F7493" w:rsidRPr="04FE0F1B">
        <w:rPr>
          <w:rStyle w:val="normaltextrun"/>
          <w:rFonts w:ascii="Arial" w:eastAsiaTheme="majorEastAsia" w:hAnsi="Arial" w:cs="Arial"/>
          <w:sz w:val="20"/>
          <w:szCs w:val="20"/>
        </w:rPr>
        <w:t xml:space="preserve"> </w:t>
      </w:r>
      <w:r w:rsidR="7EB131A1" w:rsidRPr="04FE0F1B">
        <w:rPr>
          <w:rStyle w:val="normaltextrun"/>
          <w:rFonts w:ascii="Arial" w:eastAsiaTheme="majorEastAsia" w:hAnsi="Arial" w:cs="Arial"/>
          <w:sz w:val="20"/>
          <w:szCs w:val="20"/>
        </w:rPr>
        <w:t>is one of thirty-nine states that has passed a law to address the problem of insurers limiting payment options for providers. Many of these laws also deal with the issue of insurers imposing fees to collect payment. One reason so many states have passed similar laws is due to the simple fact that insurers limiting payment options and requiring fees does nothing to reduce the cost of care or increase access</w:t>
      </w:r>
      <w:r w:rsidR="6F0FE419" w:rsidRPr="04FE0F1B">
        <w:rPr>
          <w:rStyle w:val="normaltextrun"/>
          <w:rFonts w:ascii="Arial" w:eastAsiaTheme="majorEastAsia" w:hAnsi="Arial" w:cs="Arial"/>
          <w:sz w:val="20"/>
          <w:szCs w:val="20"/>
        </w:rPr>
        <w:t>.</w:t>
      </w:r>
      <w:r w:rsidR="490F7493" w:rsidRPr="04FE0F1B">
        <w:rPr>
          <w:rStyle w:val="normaltextrun"/>
          <w:rFonts w:ascii="Arial" w:eastAsiaTheme="majorEastAsia" w:hAnsi="Arial" w:cs="Arial"/>
          <w:sz w:val="20"/>
          <w:szCs w:val="20"/>
        </w:rPr>
        <w:t xml:space="preserve"> In</w:t>
      </w:r>
      <w:r w:rsidR="4F78424C" w:rsidRPr="04FE0F1B">
        <w:rPr>
          <w:rStyle w:val="normaltextrun"/>
          <w:rFonts w:ascii="Arial" w:eastAsiaTheme="majorEastAsia" w:hAnsi="Arial" w:cs="Arial"/>
          <w:sz w:val="20"/>
          <w:szCs w:val="20"/>
        </w:rPr>
        <w:t xml:space="preserve"> 2025</w:t>
      </w:r>
      <w:r w:rsidR="00985FCD">
        <w:rPr>
          <w:rStyle w:val="normaltextrun"/>
          <w:rFonts w:ascii="Arial" w:eastAsiaTheme="majorEastAsia" w:hAnsi="Arial" w:cs="Arial"/>
          <w:sz w:val="20"/>
          <w:szCs w:val="20"/>
        </w:rPr>
        <w:t>,</w:t>
      </w:r>
      <w:r w:rsidR="490F7493" w:rsidRPr="04FE0F1B">
        <w:rPr>
          <w:rStyle w:val="normaltextrun"/>
          <w:rFonts w:ascii="Arial" w:eastAsiaTheme="majorEastAsia" w:hAnsi="Arial" w:cs="Arial"/>
          <w:sz w:val="20"/>
          <w:szCs w:val="20"/>
        </w:rPr>
        <w:t xml:space="preserve"> </w:t>
      </w:r>
      <w:r w:rsidRPr="04FE0F1B">
        <w:rPr>
          <w:rStyle w:val="normaltextrun"/>
          <w:rFonts w:ascii="Arial" w:eastAsiaTheme="majorEastAsia" w:hAnsi="Arial" w:cs="Arial"/>
          <w:sz w:val="20"/>
          <w:szCs w:val="20"/>
        </w:rPr>
        <w:t>New York</w:t>
      </w:r>
      <w:r w:rsidR="490F7493" w:rsidRPr="04FE0F1B">
        <w:rPr>
          <w:rStyle w:val="normaltextrun"/>
          <w:rFonts w:ascii="Arial" w:eastAsiaTheme="majorEastAsia" w:hAnsi="Arial" w:cs="Arial"/>
          <w:sz w:val="20"/>
          <w:szCs w:val="20"/>
        </w:rPr>
        <w:t xml:space="preserve"> enacted </w:t>
      </w:r>
      <w:r w:rsidR="2F0339CD" w:rsidRPr="04FE0F1B">
        <w:rPr>
          <w:rStyle w:val="normaltextrun"/>
          <w:rFonts w:ascii="Arial" w:eastAsiaTheme="majorEastAsia" w:hAnsi="Arial" w:cs="Arial"/>
          <w:sz w:val="20"/>
          <w:szCs w:val="20"/>
        </w:rPr>
        <w:t xml:space="preserve">NY CLS Ins § 3217-b, </w:t>
      </w:r>
      <w:r w:rsidR="366FA81A" w:rsidRPr="04FE0F1B">
        <w:rPr>
          <w:rStyle w:val="normaltextrun"/>
          <w:rFonts w:ascii="Arial" w:eastAsiaTheme="majorEastAsia" w:hAnsi="Arial" w:cs="Arial"/>
          <w:sz w:val="20"/>
          <w:szCs w:val="20"/>
        </w:rPr>
        <w:t xml:space="preserve">the </w:t>
      </w:r>
      <w:r w:rsidR="6904EB6F" w:rsidRPr="04FE0F1B">
        <w:rPr>
          <w:rStyle w:val="normaltextrun"/>
          <w:rFonts w:ascii="Arial" w:eastAsiaTheme="majorEastAsia" w:hAnsi="Arial" w:cs="Arial"/>
          <w:sz w:val="20"/>
          <w:szCs w:val="20"/>
        </w:rPr>
        <w:t>Prohibitions/</w:t>
      </w:r>
      <w:r w:rsidR="366FA81A" w:rsidRPr="04FE0F1B">
        <w:rPr>
          <w:rStyle w:val="normaltextrun"/>
          <w:rFonts w:ascii="Arial" w:eastAsiaTheme="majorEastAsia" w:hAnsi="Arial" w:cs="Arial"/>
          <w:sz w:val="20"/>
          <w:szCs w:val="20"/>
        </w:rPr>
        <w:t>Virtual Credit Card law, allowing dentists to choose the best payment option for their specific practice operations in a way that maximizes patient care. The recent policy change by Delta Dental, to charge a fee for the provider to receive a paper check</w:t>
      </w:r>
      <w:r w:rsidR="00985FCD">
        <w:rPr>
          <w:rStyle w:val="normaltextrun"/>
          <w:rFonts w:ascii="Arial" w:eastAsiaTheme="majorEastAsia" w:hAnsi="Arial" w:cs="Arial"/>
          <w:sz w:val="20"/>
          <w:szCs w:val="20"/>
        </w:rPr>
        <w:t>,</w:t>
      </w:r>
      <w:r w:rsidR="366FA81A" w:rsidRPr="04FE0F1B">
        <w:rPr>
          <w:rStyle w:val="normaltextrun"/>
          <w:rFonts w:ascii="Arial" w:eastAsiaTheme="majorEastAsia" w:hAnsi="Arial" w:cs="Arial"/>
          <w:sz w:val="20"/>
          <w:szCs w:val="20"/>
        </w:rPr>
        <w:t xml:space="preserve"> flies in the face </w:t>
      </w:r>
      <w:r w:rsidR="647BCE09" w:rsidRPr="04FE0F1B">
        <w:rPr>
          <w:rStyle w:val="normaltextrun"/>
          <w:rFonts w:ascii="Arial" w:eastAsiaTheme="majorEastAsia" w:hAnsi="Arial" w:cs="Arial"/>
          <w:sz w:val="20"/>
          <w:szCs w:val="20"/>
        </w:rPr>
        <w:t>o</w:t>
      </w:r>
      <w:r w:rsidR="366FA81A" w:rsidRPr="04FE0F1B">
        <w:rPr>
          <w:rStyle w:val="normaltextrun"/>
          <w:rFonts w:ascii="Arial" w:eastAsiaTheme="majorEastAsia" w:hAnsi="Arial" w:cs="Arial"/>
          <w:sz w:val="20"/>
          <w:szCs w:val="20"/>
        </w:rPr>
        <w:t xml:space="preserve">f this law. I would ask the </w:t>
      </w:r>
      <w:r w:rsidR="00985FCD">
        <w:rPr>
          <w:rStyle w:val="normaltextrun"/>
          <w:rFonts w:ascii="Arial" w:eastAsiaTheme="majorEastAsia" w:hAnsi="Arial" w:cs="Arial"/>
          <w:sz w:val="20"/>
          <w:szCs w:val="20"/>
        </w:rPr>
        <w:t>D</w:t>
      </w:r>
      <w:r w:rsidR="366FA81A" w:rsidRPr="04FE0F1B">
        <w:rPr>
          <w:rStyle w:val="normaltextrun"/>
          <w:rFonts w:ascii="Arial" w:eastAsiaTheme="majorEastAsia" w:hAnsi="Arial" w:cs="Arial"/>
          <w:sz w:val="20"/>
          <w:szCs w:val="20"/>
        </w:rPr>
        <w:t xml:space="preserve">epartment, together with the legislators supporting an approach that maximizes non-fee payment options for providers, to consider drafting regulatory and/or legislative proposals to clarify that adding fees to paper check claim payments reverses the progress lawmakers intended with </w:t>
      </w:r>
      <w:r w:rsidR="0A4B1901" w:rsidRPr="04FE0F1B">
        <w:rPr>
          <w:rStyle w:val="normaltextrun"/>
          <w:rFonts w:ascii="Arial" w:eastAsiaTheme="majorEastAsia" w:hAnsi="Arial" w:cs="Arial"/>
          <w:sz w:val="20"/>
          <w:szCs w:val="20"/>
        </w:rPr>
        <w:t>NY CLS Ins § 3217-b.</w:t>
      </w:r>
    </w:p>
    <w:p w14:paraId="435466B9" w14:textId="00181147" w:rsidR="00DC00FF" w:rsidRDefault="00DC00FF" w:rsidP="00DC00FF">
      <w:pPr>
        <w:pStyle w:val="paragraph"/>
        <w:spacing w:before="0" w:beforeAutospacing="0" w:after="0" w:afterAutospacing="0"/>
        <w:textAlignment w:val="baseline"/>
        <w:rPr>
          <w:rFonts w:ascii="Segoe UI" w:hAnsi="Segoe UI" w:cs="Segoe UI"/>
          <w:sz w:val="18"/>
          <w:szCs w:val="18"/>
        </w:rPr>
      </w:pPr>
    </w:p>
    <w:p w14:paraId="17F59B81" w14:textId="6F06AC55" w:rsidR="00DC00FF" w:rsidRDefault="00DC00FF" w:rsidP="00DC00F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 xml:space="preserve">In the interest of mitigating the rise in health care costs and ensuring patients can access the care they need, I am asking that the </w:t>
      </w:r>
      <w:r w:rsidR="00985FCD">
        <w:rPr>
          <w:rStyle w:val="normaltextrun"/>
          <w:rFonts w:ascii="Arial" w:eastAsiaTheme="majorEastAsia" w:hAnsi="Arial" w:cs="Arial"/>
          <w:sz w:val="20"/>
          <w:szCs w:val="20"/>
        </w:rPr>
        <w:t>NYS Department of Financial Serv</w:t>
      </w:r>
      <w:r w:rsidR="00A0671C">
        <w:rPr>
          <w:rStyle w:val="normaltextrun"/>
          <w:rFonts w:ascii="Arial" w:eastAsiaTheme="majorEastAsia" w:hAnsi="Arial" w:cs="Arial"/>
          <w:sz w:val="20"/>
          <w:szCs w:val="20"/>
        </w:rPr>
        <w:t>i</w:t>
      </w:r>
      <w:r w:rsidR="00985FCD">
        <w:rPr>
          <w:rStyle w:val="normaltextrun"/>
          <w:rFonts w:ascii="Arial" w:eastAsiaTheme="majorEastAsia" w:hAnsi="Arial" w:cs="Arial"/>
          <w:sz w:val="20"/>
          <w:szCs w:val="20"/>
        </w:rPr>
        <w:t>ces</w:t>
      </w:r>
      <w:r>
        <w:rPr>
          <w:rStyle w:val="normaltextrun"/>
          <w:rFonts w:ascii="Arial" w:eastAsiaTheme="majorEastAsia" w:hAnsi="Arial" w:cs="Arial"/>
          <w:sz w:val="20"/>
          <w:szCs w:val="20"/>
        </w:rPr>
        <w:t xml:space="preserve"> recognize the coercive nature of this shift in payment policy along with the potential impacts on care and take appropriate regulatory action against the insurer’s proposal.</w:t>
      </w:r>
    </w:p>
    <w:p w14:paraId="445B649A" w14:textId="6DB21679" w:rsidR="00DC00FF" w:rsidRDefault="00DC00FF" w:rsidP="00DC00FF">
      <w:pPr>
        <w:pStyle w:val="paragraph"/>
        <w:spacing w:before="0" w:beforeAutospacing="0" w:after="0" w:afterAutospacing="0"/>
        <w:textAlignment w:val="baseline"/>
        <w:rPr>
          <w:rFonts w:ascii="Segoe UI" w:hAnsi="Segoe UI" w:cs="Segoe UI"/>
          <w:sz w:val="18"/>
          <w:szCs w:val="18"/>
        </w:rPr>
      </w:pPr>
    </w:p>
    <w:p w14:paraId="012F3F64" w14:textId="64151571" w:rsidR="00DC00FF" w:rsidRDefault="00DC00FF" w:rsidP="00DC00F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Delta’s push to have dentists use electronic payment systems under the guise of being ‘free’ or ‘more efficient’ ignores financial and operational realities and needs careful analysis. Even if there are laws to limit fees for certain electronic payment systems, the processing fees associated with them still become significant over time. The impact of the $15 weekly administration fee ultimately sets reimbursement rates below agreed-upon fee schedules, which exacerbates the notion of insurers’ coercion in this matter.</w:t>
      </w:r>
    </w:p>
    <w:p w14:paraId="0C9F91D5" w14:textId="17E48910" w:rsidR="00DC00FF" w:rsidRDefault="00DC00FF" w:rsidP="00DC00FF">
      <w:pPr>
        <w:pStyle w:val="paragraph"/>
        <w:spacing w:before="0" w:beforeAutospacing="0" w:after="0" w:afterAutospacing="0"/>
        <w:textAlignment w:val="baseline"/>
        <w:rPr>
          <w:rFonts w:ascii="Segoe UI" w:hAnsi="Segoe UI" w:cs="Segoe UI"/>
          <w:sz w:val="18"/>
          <w:szCs w:val="18"/>
        </w:rPr>
      </w:pPr>
    </w:p>
    <w:p w14:paraId="60AA5C30" w14:textId="6E0E29CB" w:rsidR="00DC00FF" w:rsidRDefault="00DC00FF" w:rsidP="00DC00F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 xml:space="preserve">Additionally, electronic payment processes increase the time and steps necessary to enter payments into practice systems, including employing and training staff for extended adjudication monitoring duties. For example, after a practice receives an electronic payment (EFT), the report from the insurance company concerning a claim requires extra steps to go to the bank statement to match the report to the deposits made through EFT. Considering the amount of claim transactions occurring in a day, reconciling these transactions is very time-consuming and costly </w:t>
      </w:r>
      <w:proofErr w:type="gramStart"/>
      <w:r>
        <w:rPr>
          <w:rStyle w:val="normaltextrun"/>
          <w:rFonts w:ascii="Arial" w:eastAsiaTheme="majorEastAsia" w:hAnsi="Arial" w:cs="Arial"/>
          <w:sz w:val="20"/>
          <w:szCs w:val="20"/>
        </w:rPr>
        <w:t>to</w:t>
      </w:r>
      <w:proofErr w:type="gramEnd"/>
      <w:r>
        <w:rPr>
          <w:rStyle w:val="normaltextrun"/>
          <w:rFonts w:ascii="Arial" w:eastAsiaTheme="majorEastAsia" w:hAnsi="Arial" w:cs="Arial"/>
          <w:sz w:val="20"/>
          <w:szCs w:val="20"/>
        </w:rPr>
        <w:t xml:space="preserve"> a small business. Paper checks allow the payment to be </w:t>
      </w:r>
      <w:proofErr w:type="gramStart"/>
      <w:r>
        <w:rPr>
          <w:rStyle w:val="normaltextrun"/>
          <w:rFonts w:ascii="Arial" w:eastAsiaTheme="majorEastAsia" w:hAnsi="Arial" w:cs="Arial"/>
          <w:sz w:val="20"/>
          <w:szCs w:val="20"/>
        </w:rPr>
        <w:t>entered</w:t>
      </w:r>
      <w:proofErr w:type="gramEnd"/>
      <w:r>
        <w:rPr>
          <w:rStyle w:val="normaltextrun"/>
          <w:rFonts w:ascii="Arial" w:eastAsiaTheme="majorEastAsia" w:hAnsi="Arial" w:cs="Arial"/>
          <w:sz w:val="20"/>
          <w:szCs w:val="20"/>
        </w:rPr>
        <w:t xml:space="preserve"> without further steps or bank reports.</w:t>
      </w:r>
    </w:p>
    <w:p w14:paraId="029F918B" w14:textId="61E11767" w:rsidR="00DC00FF" w:rsidRDefault="00DC00FF" w:rsidP="00DC00FF">
      <w:pPr>
        <w:pStyle w:val="paragraph"/>
        <w:spacing w:before="0" w:beforeAutospacing="0" w:after="0" w:afterAutospacing="0"/>
        <w:textAlignment w:val="baseline"/>
        <w:rPr>
          <w:rFonts w:ascii="Segoe UI" w:hAnsi="Segoe UI" w:cs="Segoe UI"/>
          <w:sz w:val="18"/>
          <w:szCs w:val="18"/>
        </w:rPr>
      </w:pPr>
    </w:p>
    <w:p w14:paraId="5F6FB5AB" w14:textId="70646B7F" w:rsidR="000224DF" w:rsidRDefault="00DC00FF" w:rsidP="00374755">
      <w:pPr>
        <w:pStyle w:val="paragraph"/>
        <w:spacing w:before="0" w:beforeAutospacing="0" w:after="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Dentist</w:t>
      </w:r>
      <w:r w:rsidR="00A34F9C">
        <w:rPr>
          <w:rStyle w:val="normaltextrun"/>
          <w:rFonts w:ascii="Arial" w:eastAsiaTheme="majorEastAsia" w:hAnsi="Arial" w:cs="Arial"/>
          <w:sz w:val="20"/>
          <w:szCs w:val="20"/>
        </w:rPr>
        <w:t>s</w:t>
      </w:r>
      <w:r>
        <w:rPr>
          <w:rStyle w:val="normaltextrun"/>
          <w:rFonts w:ascii="Arial" w:eastAsiaTheme="majorEastAsia" w:hAnsi="Arial" w:cs="Arial"/>
          <w:sz w:val="20"/>
          <w:szCs w:val="20"/>
        </w:rPr>
        <w:t xml:space="preserve"> in </w:t>
      </w:r>
      <w:r w:rsidR="00E540C6">
        <w:rPr>
          <w:rStyle w:val="normaltextrun"/>
          <w:rFonts w:ascii="Arial" w:eastAsiaTheme="majorEastAsia" w:hAnsi="Arial" w:cs="Arial"/>
          <w:sz w:val="20"/>
          <w:szCs w:val="20"/>
        </w:rPr>
        <w:t>New York</w:t>
      </w:r>
      <w:r>
        <w:rPr>
          <w:rStyle w:val="normaltextrun"/>
          <w:rFonts w:ascii="Arial" w:eastAsiaTheme="majorEastAsia" w:hAnsi="Arial" w:cs="Arial"/>
          <w:sz w:val="20"/>
          <w:szCs w:val="20"/>
        </w:rPr>
        <w:t xml:space="preserve"> are looking to you for some relief from this ultimatum placed on our practices.</w:t>
      </w:r>
      <w:r w:rsidR="00985FCD">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Thank you in advance for your consideration of this matter.</w:t>
      </w:r>
    </w:p>
    <w:p w14:paraId="16834190" w14:textId="77777777" w:rsidR="00374755" w:rsidRDefault="00374755" w:rsidP="00374755">
      <w:pPr>
        <w:pStyle w:val="paragraph"/>
        <w:spacing w:before="0" w:beforeAutospacing="0" w:after="0" w:afterAutospacing="0"/>
        <w:textAlignment w:val="baseline"/>
        <w:rPr>
          <w:rStyle w:val="normaltextrun"/>
          <w:rFonts w:ascii="Arial" w:eastAsiaTheme="majorEastAsia" w:hAnsi="Arial" w:cs="Arial"/>
          <w:sz w:val="20"/>
          <w:szCs w:val="20"/>
        </w:rPr>
      </w:pPr>
    </w:p>
    <w:p w14:paraId="2344A7C0" w14:textId="799C2C49" w:rsidR="00374755" w:rsidRDefault="00374755" w:rsidP="00374755">
      <w:pPr>
        <w:pStyle w:val="paragraph"/>
        <w:spacing w:before="0" w:beforeAutospacing="0" w:after="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Regards,</w:t>
      </w:r>
    </w:p>
    <w:p w14:paraId="1A3C820F" w14:textId="77777777" w:rsidR="00374755" w:rsidRDefault="00374755" w:rsidP="00374755">
      <w:pPr>
        <w:pStyle w:val="paragraph"/>
        <w:spacing w:before="0" w:beforeAutospacing="0" w:after="0" w:afterAutospacing="0"/>
        <w:textAlignment w:val="baseline"/>
        <w:rPr>
          <w:rStyle w:val="normaltextrun"/>
          <w:rFonts w:ascii="Arial" w:eastAsiaTheme="majorEastAsia" w:hAnsi="Arial" w:cs="Arial"/>
          <w:sz w:val="20"/>
          <w:szCs w:val="20"/>
        </w:rPr>
      </w:pPr>
    </w:p>
    <w:p w14:paraId="6FA69C7C" w14:textId="580C8CF7" w:rsidR="00374755" w:rsidRPr="009607B4" w:rsidRDefault="00374755" w:rsidP="00374755">
      <w:pPr>
        <w:pStyle w:val="paragraph"/>
        <w:spacing w:before="0" w:beforeAutospacing="0" w:after="0" w:afterAutospacing="0"/>
        <w:textAlignment w:val="baseline"/>
      </w:pPr>
      <w:r>
        <w:rPr>
          <w:rStyle w:val="normaltextrun"/>
          <w:rFonts w:ascii="Arial" w:eastAsiaTheme="majorEastAsia" w:hAnsi="Arial" w:cs="Arial"/>
          <w:sz w:val="20"/>
          <w:szCs w:val="20"/>
        </w:rPr>
        <w:t>(INSERT DENTIST NAME)</w:t>
      </w:r>
    </w:p>
    <w:sectPr w:rsidR="00374755" w:rsidRPr="00960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0FF"/>
    <w:rsid w:val="000224DF"/>
    <w:rsid w:val="000617A9"/>
    <w:rsid w:val="000C775C"/>
    <w:rsid w:val="000F7AE5"/>
    <w:rsid w:val="001C0C1A"/>
    <w:rsid w:val="002214F2"/>
    <w:rsid w:val="0023021C"/>
    <w:rsid w:val="002428A2"/>
    <w:rsid w:val="00263D98"/>
    <w:rsid w:val="00303454"/>
    <w:rsid w:val="00374755"/>
    <w:rsid w:val="003769B2"/>
    <w:rsid w:val="00393160"/>
    <w:rsid w:val="00402B6A"/>
    <w:rsid w:val="00426C31"/>
    <w:rsid w:val="0048139B"/>
    <w:rsid w:val="004852CD"/>
    <w:rsid w:val="004A3253"/>
    <w:rsid w:val="00523719"/>
    <w:rsid w:val="00554BF6"/>
    <w:rsid w:val="005638E4"/>
    <w:rsid w:val="005B7BC4"/>
    <w:rsid w:val="005E2754"/>
    <w:rsid w:val="007302FF"/>
    <w:rsid w:val="00736C86"/>
    <w:rsid w:val="00772AD3"/>
    <w:rsid w:val="00793D51"/>
    <w:rsid w:val="007A053A"/>
    <w:rsid w:val="007C79A5"/>
    <w:rsid w:val="00821FE3"/>
    <w:rsid w:val="008366C4"/>
    <w:rsid w:val="008E62CF"/>
    <w:rsid w:val="008F2CAD"/>
    <w:rsid w:val="00947C20"/>
    <w:rsid w:val="0095077D"/>
    <w:rsid w:val="009607B4"/>
    <w:rsid w:val="009729A1"/>
    <w:rsid w:val="00977C0A"/>
    <w:rsid w:val="00985FCD"/>
    <w:rsid w:val="00A0671C"/>
    <w:rsid w:val="00A34F9C"/>
    <w:rsid w:val="00A63367"/>
    <w:rsid w:val="00B72683"/>
    <w:rsid w:val="00B825AD"/>
    <w:rsid w:val="00C4654C"/>
    <w:rsid w:val="00C55A62"/>
    <w:rsid w:val="00D879DD"/>
    <w:rsid w:val="00DC00FF"/>
    <w:rsid w:val="00DF3C03"/>
    <w:rsid w:val="00E540C6"/>
    <w:rsid w:val="00E73EB7"/>
    <w:rsid w:val="00E95410"/>
    <w:rsid w:val="00E967E0"/>
    <w:rsid w:val="00EA37E1"/>
    <w:rsid w:val="00F877E5"/>
    <w:rsid w:val="00FC43F8"/>
    <w:rsid w:val="04FE0F1B"/>
    <w:rsid w:val="0A4B1901"/>
    <w:rsid w:val="2F0339CD"/>
    <w:rsid w:val="366FA81A"/>
    <w:rsid w:val="490F7493"/>
    <w:rsid w:val="4F78424C"/>
    <w:rsid w:val="647BCE09"/>
    <w:rsid w:val="6904EB6F"/>
    <w:rsid w:val="6F0FE419"/>
    <w:rsid w:val="710A25CC"/>
    <w:rsid w:val="7EB13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73DB"/>
  <w15:chartTrackingRefBased/>
  <w15:docId w15:val="{ECF28444-AF53-4BC6-988D-324E02A9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0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C00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C00F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C00F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C00F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C00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00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00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00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0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C00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C00FF"/>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C00F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DC00F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DC00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00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00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00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00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0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0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00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00FF"/>
    <w:rPr>
      <w:i/>
      <w:iCs/>
      <w:color w:val="404040" w:themeColor="text1" w:themeTint="BF"/>
    </w:rPr>
  </w:style>
  <w:style w:type="paragraph" w:styleId="ListParagraph">
    <w:name w:val="List Paragraph"/>
    <w:basedOn w:val="Normal"/>
    <w:uiPriority w:val="34"/>
    <w:qFormat/>
    <w:rsid w:val="00DC00FF"/>
    <w:pPr>
      <w:ind w:left="720"/>
      <w:contextualSpacing/>
    </w:pPr>
  </w:style>
  <w:style w:type="character" w:styleId="IntenseEmphasis">
    <w:name w:val="Intense Emphasis"/>
    <w:basedOn w:val="DefaultParagraphFont"/>
    <w:uiPriority w:val="21"/>
    <w:qFormat/>
    <w:rsid w:val="00DC00FF"/>
    <w:rPr>
      <w:i/>
      <w:iCs/>
      <w:color w:val="2E74B5" w:themeColor="accent1" w:themeShade="BF"/>
    </w:rPr>
  </w:style>
  <w:style w:type="paragraph" w:styleId="IntenseQuote">
    <w:name w:val="Intense Quote"/>
    <w:basedOn w:val="Normal"/>
    <w:next w:val="Normal"/>
    <w:link w:val="IntenseQuoteChar"/>
    <w:uiPriority w:val="30"/>
    <w:qFormat/>
    <w:rsid w:val="00DC00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C00FF"/>
    <w:rPr>
      <w:i/>
      <w:iCs/>
      <w:color w:val="2E74B5" w:themeColor="accent1" w:themeShade="BF"/>
    </w:rPr>
  </w:style>
  <w:style w:type="character" w:styleId="IntenseReference">
    <w:name w:val="Intense Reference"/>
    <w:basedOn w:val="DefaultParagraphFont"/>
    <w:uiPriority w:val="32"/>
    <w:qFormat/>
    <w:rsid w:val="00DC00FF"/>
    <w:rPr>
      <w:b/>
      <w:bCs/>
      <w:smallCaps/>
      <w:color w:val="2E74B5" w:themeColor="accent1" w:themeShade="BF"/>
      <w:spacing w:val="5"/>
    </w:rPr>
  </w:style>
  <w:style w:type="paragraph" w:customStyle="1" w:styleId="paragraph">
    <w:name w:val="paragraph"/>
    <w:basedOn w:val="Normal"/>
    <w:rsid w:val="00DC00FF"/>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C00FF"/>
  </w:style>
  <w:style w:type="character" w:customStyle="1" w:styleId="eop">
    <w:name w:val="eop"/>
    <w:basedOn w:val="DefaultParagraphFont"/>
    <w:rsid w:val="00DC00FF"/>
  </w:style>
  <w:style w:type="paragraph" w:styleId="Revision">
    <w:name w:val="Revision"/>
    <w:hidden/>
    <w:uiPriority w:val="99"/>
    <w:semiHidden/>
    <w:rsid w:val="00E967E0"/>
  </w:style>
  <w:style w:type="character" w:styleId="Hyperlink">
    <w:name w:val="Hyperlink"/>
    <w:basedOn w:val="DefaultParagraphFont"/>
    <w:uiPriority w:val="99"/>
    <w:unhideWhenUsed/>
    <w:rsid w:val="003769B2"/>
    <w:rPr>
      <w:color w:val="0563C1" w:themeColor="hyperlink"/>
      <w:u w:val="single"/>
    </w:rPr>
  </w:style>
  <w:style w:type="character" w:styleId="UnresolvedMention">
    <w:name w:val="Unresolved Mention"/>
    <w:basedOn w:val="DefaultParagraphFont"/>
    <w:uiPriority w:val="99"/>
    <w:semiHidden/>
    <w:unhideWhenUsed/>
    <w:rsid w:val="00376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389216">
      <w:bodyDiv w:val="1"/>
      <w:marLeft w:val="0"/>
      <w:marRight w:val="0"/>
      <w:marTop w:val="0"/>
      <w:marBottom w:val="0"/>
      <w:divBdr>
        <w:top w:val="none" w:sz="0" w:space="0" w:color="auto"/>
        <w:left w:val="none" w:sz="0" w:space="0" w:color="auto"/>
        <w:bottom w:val="none" w:sz="0" w:space="0" w:color="auto"/>
        <w:right w:val="none" w:sz="0" w:space="0" w:color="auto"/>
      </w:divBdr>
      <w:divsChild>
        <w:div w:id="518737505">
          <w:marLeft w:val="0"/>
          <w:marRight w:val="0"/>
          <w:marTop w:val="0"/>
          <w:marBottom w:val="0"/>
          <w:divBdr>
            <w:top w:val="none" w:sz="0" w:space="0" w:color="auto"/>
            <w:left w:val="none" w:sz="0" w:space="0" w:color="auto"/>
            <w:bottom w:val="none" w:sz="0" w:space="0" w:color="auto"/>
            <w:right w:val="none" w:sz="0" w:space="0" w:color="auto"/>
          </w:divBdr>
        </w:div>
        <w:div w:id="2039161095">
          <w:marLeft w:val="0"/>
          <w:marRight w:val="0"/>
          <w:marTop w:val="0"/>
          <w:marBottom w:val="0"/>
          <w:divBdr>
            <w:top w:val="none" w:sz="0" w:space="0" w:color="auto"/>
            <w:left w:val="none" w:sz="0" w:space="0" w:color="auto"/>
            <w:bottom w:val="none" w:sz="0" w:space="0" w:color="auto"/>
            <w:right w:val="none" w:sz="0" w:space="0" w:color="auto"/>
          </w:divBdr>
        </w:div>
        <w:div w:id="570117628">
          <w:marLeft w:val="0"/>
          <w:marRight w:val="0"/>
          <w:marTop w:val="0"/>
          <w:marBottom w:val="0"/>
          <w:divBdr>
            <w:top w:val="none" w:sz="0" w:space="0" w:color="auto"/>
            <w:left w:val="none" w:sz="0" w:space="0" w:color="auto"/>
            <w:bottom w:val="none" w:sz="0" w:space="0" w:color="auto"/>
            <w:right w:val="none" w:sz="0" w:space="0" w:color="auto"/>
          </w:divBdr>
        </w:div>
        <w:div w:id="1592005215">
          <w:marLeft w:val="0"/>
          <w:marRight w:val="0"/>
          <w:marTop w:val="0"/>
          <w:marBottom w:val="0"/>
          <w:divBdr>
            <w:top w:val="none" w:sz="0" w:space="0" w:color="auto"/>
            <w:left w:val="none" w:sz="0" w:space="0" w:color="auto"/>
            <w:bottom w:val="none" w:sz="0" w:space="0" w:color="auto"/>
            <w:right w:val="none" w:sz="0" w:space="0" w:color="auto"/>
          </w:divBdr>
        </w:div>
        <w:div w:id="1120538801">
          <w:marLeft w:val="0"/>
          <w:marRight w:val="0"/>
          <w:marTop w:val="0"/>
          <w:marBottom w:val="0"/>
          <w:divBdr>
            <w:top w:val="none" w:sz="0" w:space="0" w:color="auto"/>
            <w:left w:val="none" w:sz="0" w:space="0" w:color="auto"/>
            <w:bottom w:val="none" w:sz="0" w:space="0" w:color="auto"/>
            <w:right w:val="none" w:sz="0" w:space="0" w:color="auto"/>
          </w:divBdr>
        </w:div>
        <w:div w:id="1942106153">
          <w:marLeft w:val="0"/>
          <w:marRight w:val="0"/>
          <w:marTop w:val="0"/>
          <w:marBottom w:val="0"/>
          <w:divBdr>
            <w:top w:val="none" w:sz="0" w:space="0" w:color="auto"/>
            <w:left w:val="none" w:sz="0" w:space="0" w:color="auto"/>
            <w:bottom w:val="none" w:sz="0" w:space="0" w:color="auto"/>
            <w:right w:val="none" w:sz="0" w:space="0" w:color="auto"/>
          </w:divBdr>
        </w:div>
        <w:div w:id="783035070">
          <w:marLeft w:val="0"/>
          <w:marRight w:val="0"/>
          <w:marTop w:val="0"/>
          <w:marBottom w:val="0"/>
          <w:divBdr>
            <w:top w:val="none" w:sz="0" w:space="0" w:color="auto"/>
            <w:left w:val="none" w:sz="0" w:space="0" w:color="auto"/>
            <w:bottom w:val="none" w:sz="0" w:space="0" w:color="auto"/>
            <w:right w:val="none" w:sz="0" w:space="0" w:color="auto"/>
          </w:divBdr>
        </w:div>
        <w:div w:id="1072921614">
          <w:marLeft w:val="0"/>
          <w:marRight w:val="0"/>
          <w:marTop w:val="0"/>
          <w:marBottom w:val="0"/>
          <w:divBdr>
            <w:top w:val="none" w:sz="0" w:space="0" w:color="auto"/>
            <w:left w:val="none" w:sz="0" w:space="0" w:color="auto"/>
            <w:bottom w:val="none" w:sz="0" w:space="0" w:color="auto"/>
            <w:right w:val="none" w:sz="0" w:space="0" w:color="auto"/>
          </w:divBdr>
        </w:div>
        <w:div w:id="1406025880">
          <w:marLeft w:val="0"/>
          <w:marRight w:val="0"/>
          <w:marTop w:val="0"/>
          <w:marBottom w:val="0"/>
          <w:divBdr>
            <w:top w:val="none" w:sz="0" w:space="0" w:color="auto"/>
            <w:left w:val="none" w:sz="0" w:space="0" w:color="auto"/>
            <w:bottom w:val="none" w:sz="0" w:space="0" w:color="auto"/>
            <w:right w:val="none" w:sz="0" w:space="0" w:color="auto"/>
          </w:divBdr>
        </w:div>
        <w:div w:id="768088676">
          <w:marLeft w:val="0"/>
          <w:marRight w:val="0"/>
          <w:marTop w:val="0"/>
          <w:marBottom w:val="0"/>
          <w:divBdr>
            <w:top w:val="none" w:sz="0" w:space="0" w:color="auto"/>
            <w:left w:val="none" w:sz="0" w:space="0" w:color="auto"/>
            <w:bottom w:val="none" w:sz="0" w:space="0" w:color="auto"/>
            <w:right w:val="none" w:sz="0" w:space="0" w:color="auto"/>
          </w:divBdr>
        </w:div>
        <w:div w:id="2095201083">
          <w:marLeft w:val="0"/>
          <w:marRight w:val="0"/>
          <w:marTop w:val="0"/>
          <w:marBottom w:val="0"/>
          <w:divBdr>
            <w:top w:val="none" w:sz="0" w:space="0" w:color="auto"/>
            <w:left w:val="none" w:sz="0" w:space="0" w:color="auto"/>
            <w:bottom w:val="none" w:sz="0" w:space="0" w:color="auto"/>
            <w:right w:val="none" w:sz="0" w:space="0" w:color="auto"/>
          </w:divBdr>
        </w:div>
        <w:div w:id="1644387900">
          <w:marLeft w:val="0"/>
          <w:marRight w:val="0"/>
          <w:marTop w:val="0"/>
          <w:marBottom w:val="0"/>
          <w:divBdr>
            <w:top w:val="none" w:sz="0" w:space="0" w:color="auto"/>
            <w:left w:val="none" w:sz="0" w:space="0" w:color="auto"/>
            <w:bottom w:val="none" w:sz="0" w:space="0" w:color="auto"/>
            <w:right w:val="none" w:sz="0" w:space="0" w:color="auto"/>
          </w:divBdr>
        </w:div>
        <w:div w:id="1163592538">
          <w:marLeft w:val="0"/>
          <w:marRight w:val="0"/>
          <w:marTop w:val="0"/>
          <w:marBottom w:val="0"/>
          <w:divBdr>
            <w:top w:val="none" w:sz="0" w:space="0" w:color="auto"/>
            <w:left w:val="none" w:sz="0" w:space="0" w:color="auto"/>
            <w:bottom w:val="none" w:sz="0" w:space="0" w:color="auto"/>
            <w:right w:val="none" w:sz="0" w:space="0" w:color="auto"/>
          </w:divBdr>
        </w:div>
        <w:div w:id="465272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public-affairs@dfs.ny.gov" TargetMode="External"/><Relationship Id="rId4" Type="http://schemas.openxmlformats.org/officeDocument/2006/relationships/customXml" Target="../customXml/item4.xml"/><Relationship Id="rId9" Type="http://schemas.openxmlformats.org/officeDocument/2006/relationships/hyperlink" Target="mailto:consumers@dfs.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A Document" ma:contentTypeID="0x0101007AC3A82AC9F8B14D8C0D9CA8B94DB326010069FB014E2770384FB9144D1A34AE73C3" ma:contentTypeVersion="36" ma:contentTypeDescription="Content type for division and department documents at ADA" ma:contentTypeScope="" ma:versionID="e35f76c17d9f048ac65c068a579446e9">
  <xsd:schema xmlns:xsd="http://www.w3.org/2001/XMLSchema" xmlns:xs="http://www.w3.org/2001/XMLSchema" xmlns:p="http://schemas.microsoft.com/office/2006/metadata/properties" xmlns:ns1="d7d62fa2-eb12-4b08-9862-00a7ee550b07" xmlns:ns3="32617f07-e334-4110-a7ec-61e264b8cdbc" targetNamespace="http://schemas.microsoft.com/office/2006/metadata/properties" ma:root="true" ma:fieldsID="4790eff8f83a931c44428b1664721d93" ns1:_="" ns3:_="">
    <xsd:import namespace="d7d62fa2-eb12-4b08-9862-00a7ee550b07"/>
    <xsd:import namespace="32617f07-e334-4110-a7ec-61e264b8cdbc"/>
    <xsd:element name="properties">
      <xsd:complexType>
        <xsd:sequence>
          <xsd:element name="documentManagement">
            <xsd:complexType>
              <xsd:all>
                <xsd:element ref="ns1:TaxCatchAll" minOccurs="0"/>
                <xsd:element ref="ns1:ceddd298b65240b6a3a851f4b12c4614" minOccurs="0"/>
                <xsd:element ref="ns1:TaxCatchAllLabel" minOccurs="0"/>
                <xsd:element ref="ns1:TaxKeywordTaxHTField" minOccurs="0"/>
                <xsd:element ref="ns1:ac0dd78667084069ba9a7fed27907383" minOccurs="0"/>
                <xsd:element ref="ns1:cc10842d4b8241f584833c53195dc016" minOccurs="0"/>
                <xsd:element ref="ns1:_dlc_DocId" minOccurs="0"/>
                <xsd:element ref="ns1:_dlc_DocIdUrl" minOccurs="0"/>
                <xsd:element ref="ns1:_dlc_DocIdPersistId" minOccurs="0"/>
                <xsd:element ref="ns1:SharedWithUsers" minOccurs="0"/>
                <xsd:element ref="ns1: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62fa2-eb12-4b08-9862-00a7ee55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9eb95fd-064e-4607-a0c8-2feda299e85b}" ma:internalName="TaxCatchAll" ma:readOnly="false" ma:showField="CatchAllData"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ceddd298b65240b6a3a851f4b12c4614" ma:index="13" nillable="true" ma:taxonomy="true" ma:internalName="ceddd298b65240b6a3a851f4b12c4614" ma:taxonomyFieldName="ADAInfoType" ma:displayName="Information Type" ma:indexed="true" ma:readOnly="false" ma:default="" ma:fieldId="{ceddd298-b652-40b6-a3a8-51f4b12c4614}" ma:sspId="7e858c4a-9744-4865-ac7f-54abdbaa75a7" ma:termSetId="60abc4bf-6cde-4bef-a054-b07ec7919787"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29eb95fd-064e-4607-a0c8-2feda299e85b}" ma:internalName="TaxCatchAllLabel" ma:readOnly="false" ma:showField="CatchAllDataLabel"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7e858c4a-9744-4865-ac7f-54abdbaa75a7"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6" nillable="true" ma:taxonomy="true" ma:internalName="ac0dd78667084069ba9a7fed27907383" ma:taxonomyFieldName="ADADivision" ma:displayName="Division" ma:indexed="true" ma:readOnly="false" ma:default="1;#Government and Public Affairs|90fbf145-9374-4aed-a666-9ea48e16154a" ma:fieldId="{ac0dd786-6708-4069-ba9a-7fed27907383}" ma:sspId="7e858c4a-9744-4865-ac7f-54abdbaa75a7"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7" nillable="true" ma:taxonomy="true" ma:internalName="cc10842d4b8241f584833c53195dc016" ma:taxonomyFieldName="ADADepartment" ma:displayName="Department" ma:indexed="true" ma:readOnly="false" ma:default="-1;#State Government Affairs|2f34b833-fdc5-499b-abb4-ec15512084e0" ma:fieldId="{cc10842d-4b82-41f5-8483-3c53195dc016}" ma:sspId="7e858c4a-9744-4865-ac7f-54abdbaa75a7" ma:termSetId="655c8b02-8ee0-42c0-a84e-4690684d60d7"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17f07-e334-4110-a7ec-61e264b8cdbc"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eddd298b65240b6a3a851f4b12c4614 xmlns="d7d62fa2-eb12-4b08-9862-00a7ee550b07">
      <Terms xmlns="http://schemas.microsoft.com/office/infopath/2007/PartnerControls"/>
    </ceddd298b65240b6a3a851f4b12c4614>
    <TaxKeywordTaxHTField xmlns="d7d62fa2-eb12-4b08-9862-00a7ee550b07">
      <Terms xmlns="http://schemas.microsoft.com/office/infopath/2007/PartnerControls"/>
    </TaxKeywordTaxHTField>
    <cc10842d4b8241f584833c53195dc016 xmlns="d7d62fa2-eb12-4b08-9862-00a7ee550b07">
      <Terms xmlns="http://schemas.microsoft.com/office/infopath/2007/PartnerControls">
        <TermInfo xmlns="http://schemas.microsoft.com/office/infopath/2007/PartnerControls">
          <TermName xmlns="http://schemas.microsoft.com/office/infopath/2007/PartnerControls">State Government Affairs</TermName>
          <TermId xmlns="http://schemas.microsoft.com/office/infopath/2007/PartnerControls">2f34b833-fdc5-499b-abb4-ec15512084e0</TermId>
        </TermInfo>
      </Terms>
    </cc10842d4b8241f584833c53195dc016>
    <TaxCatchAll xmlns="d7d62fa2-eb12-4b08-9862-00a7ee550b07">
      <Value>2</Value>
      <Value>1</Value>
    </TaxCatchAll>
    <TaxCatchAllLabel xmlns="d7d62fa2-eb12-4b08-9862-00a7ee550b07" xsi:nil="true"/>
    <_dlc_DocIdPersistId xmlns="d7d62fa2-eb12-4b08-9862-00a7ee550b07" xsi:nil="true"/>
    <ac0dd78667084069ba9a7fed27907383 xmlns="d7d62fa2-eb12-4b08-9862-00a7ee550b07">
      <Terms xmlns="http://schemas.microsoft.com/office/infopath/2007/PartnerControls">
        <TermInfo xmlns="http://schemas.microsoft.com/office/infopath/2007/PartnerControls">
          <TermName xmlns="http://schemas.microsoft.com/office/infopath/2007/PartnerControls">Government and Public Affairs</TermName>
          <TermId xmlns="http://schemas.microsoft.com/office/infopath/2007/PartnerControls">90fbf145-9374-4aed-a666-9ea48e16154a</TermId>
        </TermInfo>
      </Terms>
    </ac0dd78667084069ba9a7fed27907383>
    <_dlc_DocId xmlns="d7d62fa2-eb12-4b08-9862-00a7ee550b07">6YS3QPK3FQ6S-2102164559-60015</_dlc_DocId>
    <_dlc_DocIdUrl xmlns="d7d62fa2-eb12-4b08-9862-00a7ee550b07">
      <Url>https://americandentalassoc.sharepoint.com/teams/gpa-sga/_layouts/15/DocIdRedir.aspx?ID=6YS3QPK3FQ6S-2102164559-60015</Url>
      <Description>6YS3QPK3FQ6S-2102164559-60015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04D1B3-034A-42C8-9E94-AC449DC81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62fa2-eb12-4b08-9862-00a7ee550b07"/>
    <ds:schemaRef ds:uri="32617f07-e334-4110-a7ec-61e264b8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B21F1-4FC9-487E-99D1-2ADA9E4B5D16}">
  <ds:schemaRefs>
    <ds:schemaRef ds:uri="http://schemas.openxmlformats.org/officeDocument/2006/bibliography"/>
  </ds:schemaRefs>
</ds:datastoreItem>
</file>

<file path=customXml/itemProps3.xml><?xml version="1.0" encoding="utf-8"?>
<ds:datastoreItem xmlns:ds="http://schemas.openxmlformats.org/officeDocument/2006/customXml" ds:itemID="{3364A4B3-D83A-45AD-A4E3-9F184410233F}">
  <ds:schemaRefs>
    <ds:schemaRef ds:uri="http://schemas.microsoft.com/sharepoint/v3/contenttype/forms"/>
  </ds:schemaRefs>
</ds:datastoreItem>
</file>

<file path=customXml/itemProps4.xml><?xml version="1.0" encoding="utf-8"?>
<ds:datastoreItem xmlns:ds="http://schemas.openxmlformats.org/officeDocument/2006/customXml" ds:itemID="{79456B4F-AD80-4A27-BC7A-9C976A66ABD0}">
  <ds:schemaRefs>
    <ds:schemaRef ds:uri="http://schemas.microsoft.com/office/2006/metadata/properties"/>
    <ds:schemaRef ds:uri="http://schemas.microsoft.com/office/infopath/2007/PartnerControls"/>
    <ds:schemaRef ds:uri="d7d62fa2-eb12-4b08-9862-00a7ee550b07"/>
  </ds:schemaRefs>
</ds:datastoreItem>
</file>

<file path=customXml/itemProps5.xml><?xml version="1.0" encoding="utf-8"?>
<ds:datastoreItem xmlns:ds="http://schemas.openxmlformats.org/officeDocument/2006/customXml" ds:itemID="{7B3317C8-372B-4FEF-9BCD-AD830F22035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Paul</dc:creator>
  <cp:keywords/>
  <dc:description/>
  <cp:lastModifiedBy>Kasey Bennett</cp:lastModifiedBy>
  <cp:revision>2</cp:revision>
  <dcterms:created xsi:type="dcterms:W3CDTF">2026-08-20T19:39:00Z</dcterms:created>
  <dcterms:modified xsi:type="dcterms:W3CDTF">2026-08-20T19:39:00Z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0x0101007AC3A82AC9F8B14D8C0D9CA8B94DB326010069FB014E2770384FB9144D1A34AE73C3</vt:lpwstr>
  </property>
  <property fmtid="{D5CDD505-2E9C-101B-9397-08002B2CF9AE}" pid="3" name="TaxKeyword">
    <vt:lpwstr/>
  </property>
  <property fmtid="{D5CDD505-2E9C-101B-9397-08002B2CF9AE}" pid="4" name="ADADivision">
    <vt:lpwstr>1;#Government and Public Affairs|90fbf145-9374-4aed-a666-9ea48e16154a</vt:lpwstr>
  </property>
  <property fmtid="{D5CDD505-2E9C-101B-9397-08002B2CF9AE}" pid="5" name="ADADepartment">
    <vt:lpwstr>2;#State Government Affairs|2f34b833-fdc5-499b-abb4-ec15512084e0</vt:lpwstr>
  </property>
  <property fmtid="{D5CDD505-2E9C-101B-9397-08002B2CF9AE}" pid="6" name="ADAInfoType">
    <vt:lpwstr/>
  </property>
  <property fmtid="{D5CDD505-2E9C-101B-9397-08002B2CF9AE}" pid="7" name="MediaServiceImageTags">
    <vt:lpwstr/>
  </property>
  <property fmtid="{D5CDD505-2E9C-101B-9397-08002B2CF9AE}" pid="8" name="lcf76f155ced4ddcb4097134ff3c332f">
    <vt:lpwstr/>
  </property>
  <property fmtid="{D5CDD505-2E9C-101B-9397-08002B2CF9AE}" pid="9" name="_dlc_DocIdItemGuid">
    <vt:lpwstr>fb360df4-1b53-4416-9d93-59fd27ecffff</vt:lpwstr>
  </property>
</Properties>
</file>